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DA" w:rsidRPr="00B344D0" w:rsidRDefault="00AC3ADA" w:rsidP="00AC3ADA">
      <w:pPr>
        <w:rPr>
          <w:rFonts w:eastAsiaTheme="minorHAnsi" w:cstheme="minorBidi"/>
          <w:b/>
        </w:rPr>
      </w:pPr>
      <w:r>
        <w:rPr>
          <w:rFonts w:eastAsiaTheme="minorHAnsi" w:cstheme="minorBidi"/>
          <w:b/>
        </w:rPr>
        <w:t>GORAN GAŠPARAC</w:t>
      </w:r>
    </w:p>
    <w:p w:rsidR="00AC3ADA" w:rsidRPr="00B344D0" w:rsidRDefault="00AC3ADA" w:rsidP="00AC3ADA">
      <w:pPr>
        <w:rPr>
          <w:rFonts w:eastAsiaTheme="minorHAnsi"/>
          <w:b/>
        </w:rPr>
      </w:pPr>
      <w:r w:rsidRPr="00B344D0">
        <w:rPr>
          <w:rFonts w:eastAsiaTheme="minorHAnsi" w:cstheme="minorBidi"/>
          <w:b/>
        </w:rPr>
        <w:t xml:space="preserve">vijećnik </w:t>
      </w:r>
    </w:p>
    <w:p w:rsidR="005B1AF4" w:rsidRDefault="005B1AF4" w:rsidP="00AC3ADA">
      <w:pPr>
        <w:jc w:val="center"/>
        <w:rPr>
          <w:rFonts w:eastAsiaTheme="minorHAnsi"/>
          <w:b/>
        </w:rPr>
      </w:pPr>
    </w:p>
    <w:p w:rsidR="005B1AF4" w:rsidRDefault="005B1AF4" w:rsidP="00AC3ADA">
      <w:pPr>
        <w:jc w:val="center"/>
        <w:rPr>
          <w:rFonts w:eastAsiaTheme="minorHAnsi"/>
          <w:b/>
        </w:rPr>
      </w:pPr>
    </w:p>
    <w:p w:rsidR="00452D35" w:rsidRDefault="00452D35" w:rsidP="00AC3ADA">
      <w:pPr>
        <w:jc w:val="center"/>
        <w:rPr>
          <w:rFonts w:eastAsiaTheme="minorHAnsi"/>
          <w:b/>
        </w:rPr>
      </w:pPr>
    </w:p>
    <w:p w:rsidR="00452D35" w:rsidRPr="00B344D0" w:rsidRDefault="00452D35" w:rsidP="00452D35">
      <w:pPr>
        <w:jc w:val="center"/>
        <w:rPr>
          <w:rFonts w:eastAsiaTheme="minorHAnsi"/>
          <w:b/>
        </w:rPr>
      </w:pPr>
      <w:r w:rsidRPr="00B344D0">
        <w:rPr>
          <w:rFonts w:eastAsiaTheme="minorHAnsi"/>
          <w:b/>
        </w:rPr>
        <w:t>Amandman br. 0</w:t>
      </w:r>
      <w:r w:rsidR="0021518C">
        <w:rPr>
          <w:rFonts w:eastAsiaTheme="minorHAnsi"/>
          <w:b/>
        </w:rPr>
        <w:t>3</w:t>
      </w:r>
    </w:p>
    <w:p w:rsidR="00452D35" w:rsidRPr="00B344D0" w:rsidRDefault="00452D35" w:rsidP="00452D35">
      <w:pPr>
        <w:jc w:val="center"/>
        <w:rPr>
          <w:rFonts w:eastAsiaTheme="minorHAnsi" w:cstheme="minorBidi"/>
          <w:b/>
        </w:rPr>
      </w:pPr>
      <w:r w:rsidRPr="00B344D0">
        <w:rPr>
          <w:rFonts w:eastAsiaTheme="minorHAnsi" w:cstheme="minorBidi"/>
          <w:b/>
        </w:rPr>
        <w:t>Sufinanciranje kupnje udžbenika za sve učenike OŠ</w:t>
      </w:r>
      <w:r w:rsidR="003D150B">
        <w:rPr>
          <w:rFonts w:eastAsiaTheme="minorHAnsi" w:cstheme="minorBidi"/>
          <w:b/>
        </w:rPr>
        <w:t>-a</w:t>
      </w:r>
    </w:p>
    <w:p w:rsidR="00452D35" w:rsidRPr="00B344D0" w:rsidRDefault="00452D35" w:rsidP="00452D35">
      <w:pPr>
        <w:rPr>
          <w:rFonts w:eastAsiaTheme="minorHAnsi"/>
        </w:rPr>
      </w:pPr>
    </w:p>
    <w:tbl>
      <w:tblPr>
        <w:tblStyle w:val="TableGrid"/>
        <w:tblW w:w="0" w:type="auto"/>
        <w:tblLook w:val="04A0"/>
      </w:tblPr>
      <w:tblGrid>
        <w:gridCol w:w="5250"/>
        <w:gridCol w:w="1273"/>
        <w:gridCol w:w="1343"/>
        <w:gridCol w:w="1376"/>
      </w:tblGrid>
      <w:tr w:rsidR="00452D35" w:rsidRPr="00B344D0" w:rsidTr="00BC1658">
        <w:tc>
          <w:tcPr>
            <w:tcW w:w="5250" w:type="dxa"/>
            <w:tcBorders>
              <w:bottom w:val="single" w:sz="4" w:space="0" w:color="auto"/>
            </w:tcBorders>
          </w:tcPr>
          <w:p w:rsidR="00452D35" w:rsidRPr="00B344D0" w:rsidRDefault="00452D35" w:rsidP="00F03476">
            <w:pPr>
              <w:jc w:val="center"/>
              <w:rPr>
                <w:b/>
              </w:rPr>
            </w:pPr>
            <w:r w:rsidRPr="00B344D0">
              <w:rPr>
                <w:b/>
              </w:rPr>
              <w:t>OPIS</w:t>
            </w:r>
          </w:p>
        </w:tc>
        <w:tc>
          <w:tcPr>
            <w:tcW w:w="1273" w:type="dxa"/>
            <w:tcBorders>
              <w:bottom w:val="single" w:sz="4" w:space="0" w:color="auto"/>
            </w:tcBorders>
          </w:tcPr>
          <w:p w:rsidR="00452D35" w:rsidRPr="00B344D0" w:rsidRDefault="00452D35" w:rsidP="00123016">
            <w:pPr>
              <w:jc w:val="center"/>
              <w:rPr>
                <w:b/>
              </w:rPr>
            </w:pPr>
            <w:r w:rsidRPr="00B344D0">
              <w:rPr>
                <w:b/>
              </w:rPr>
              <w:t>Plan za 201</w:t>
            </w:r>
            <w:r w:rsidR="00123016">
              <w:rPr>
                <w:b/>
              </w:rPr>
              <w:t>8</w:t>
            </w:r>
            <w:r w:rsidRPr="00B344D0">
              <w:rPr>
                <w:b/>
              </w:rPr>
              <w:t xml:space="preserve"> g.</w:t>
            </w:r>
          </w:p>
        </w:tc>
        <w:tc>
          <w:tcPr>
            <w:tcW w:w="1343" w:type="dxa"/>
            <w:tcBorders>
              <w:bottom w:val="single" w:sz="4" w:space="0" w:color="auto"/>
            </w:tcBorders>
          </w:tcPr>
          <w:p w:rsidR="00452D35" w:rsidRPr="00B344D0" w:rsidRDefault="00452D35" w:rsidP="00F03476">
            <w:pPr>
              <w:jc w:val="center"/>
              <w:rPr>
                <w:b/>
              </w:rPr>
            </w:pPr>
            <w:r w:rsidRPr="00B344D0">
              <w:rPr>
                <w:b/>
              </w:rPr>
              <w:t>+/-</w:t>
            </w:r>
          </w:p>
          <w:p w:rsidR="00452D35" w:rsidRPr="00B344D0" w:rsidRDefault="00452D35" w:rsidP="00F03476">
            <w:pPr>
              <w:jc w:val="center"/>
              <w:rPr>
                <w:b/>
              </w:rPr>
            </w:pPr>
            <w:r w:rsidRPr="00B344D0">
              <w:rPr>
                <w:b/>
              </w:rPr>
              <w:t>pov./smanj</w:t>
            </w:r>
          </w:p>
        </w:tc>
        <w:tc>
          <w:tcPr>
            <w:tcW w:w="1376" w:type="dxa"/>
            <w:tcBorders>
              <w:bottom w:val="single" w:sz="4" w:space="0" w:color="auto"/>
            </w:tcBorders>
          </w:tcPr>
          <w:p w:rsidR="00452D35" w:rsidRPr="00B344D0" w:rsidRDefault="00452D35" w:rsidP="00123016">
            <w:pPr>
              <w:jc w:val="center"/>
              <w:rPr>
                <w:b/>
              </w:rPr>
            </w:pPr>
            <w:r w:rsidRPr="00B344D0">
              <w:rPr>
                <w:b/>
              </w:rPr>
              <w:t>Novi plan za 201</w:t>
            </w:r>
            <w:r w:rsidR="00123016">
              <w:rPr>
                <w:b/>
              </w:rPr>
              <w:t>8</w:t>
            </w:r>
            <w:r w:rsidRPr="00B344D0">
              <w:rPr>
                <w:b/>
              </w:rPr>
              <w:t xml:space="preserve"> g.</w:t>
            </w:r>
          </w:p>
        </w:tc>
      </w:tr>
      <w:tr w:rsidR="00452D35" w:rsidRPr="00B344D0" w:rsidTr="00BC1658">
        <w:tc>
          <w:tcPr>
            <w:tcW w:w="5250" w:type="dxa"/>
            <w:tcBorders>
              <w:bottom w:val="thickThinSmallGap" w:sz="24" w:space="0" w:color="auto"/>
            </w:tcBorders>
          </w:tcPr>
          <w:p w:rsidR="00452D35" w:rsidRPr="00B344D0" w:rsidRDefault="00452D35" w:rsidP="00F03476">
            <w:r w:rsidRPr="00B344D0">
              <w:t>R003, Gl.</w:t>
            </w:r>
            <w:r>
              <w:t>003</w:t>
            </w:r>
            <w:r w:rsidRPr="00B344D0">
              <w:t>01. Pr.1029, F.Kl.09</w:t>
            </w:r>
          </w:p>
          <w:p w:rsidR="00452D35" w:rsidRPr="00E27218" w:rsidRDefault="00452D35" w:rsidP="00F03476">
            <w:pPr>
              <w:rPr>
                <w:b/>
              </w:rPr>
            </w:pPr>
            <w:r w:rsidRPr="00B344D0">
              <w:t xml:space="preserve">Aktivnost A100040 </w:t>
            </w:r>
            <w:r w:rsidRPr="00E27218">
              <w:rPr>
                <w:b/>
              </w:rPr>
              <w:t>Sufinanciranje kupnje udžbenika učenicima OŠ</w:t>
            </w:r>
          </w:p>
          <w:p w:rsidR="00452D35" w:rsidRPr="00B344D0" w:rsidRDefault="00452D35" w:rsidP="00F03476">
            <w:r w:rsidRPr="00B344D0">
              <w:t>Iz. 1, Poz. 37</w:t>
            </w:r>
          </w:p>
        </w:tc>
        <w:tc>
          <w:tcPr>
            <w:tcW w:w="1273" w:type="dxa"/>
            <w:tcBorders>
              <w:bottom w:val="thickThinSmallGap" w:sz="24" w:space="0" w:color="auto"/>
            </w:tcBorders>
          </w:tcPr>
          <w:p w:rsidR="00452D35" w:rsidRPr="00B344D0" w:rsidRDefault="00452D35" w:rsidP="00F03476">
            <w:pPr>
              <w:jc w:val="right"/>
            </w:pPr>
            <w:r w:rsidRPr="00B344D0">
              <w:t>100.000</w:t>
            </w:r>
          </w:p>
        </w:tc>
        <w:tc>
          <w:tcPr>
            <w:tcW w:w="1343" w:type="dxa"/>
            <w:tcBorders>
              <w:bottom w:val="thickThinSmallGap" w:sz="24" w:space="0" w:color="auto"/>
            </w:tcBorders>
          </w:tcPr>
          <w:p w:rsidR="00452D35" w:rsidRPr="00B344D0" w:rsidRDefault="00452D35" w:rsidP="00F03476">
            <w:pPr>
              <w:jc w:val="right"/>
              <w:rPr>
                <w:b/>
                <w:color w:val="00B050"/>
              </w:rPr>
            </w:pPr>
            <w:r w:rsidRPr="00B344D0">
              <w:rPr>
                <w:b/>
                <w:color w:val="00B050"/>
              </w:rPr>
              <w:t xml:space="preserve">+ </w:t>
            </w:r>
          </w:p>
          <w:p w:rsidR="00452D35" w:rsidRPr="00B344D0" w:rsidRDefault="00452D35" w:rsidP="00F03476">
            <w:pPr>
              <w:jc w:val="right"/>
              <w:rPr>
                <w:b/>
                <w:color w:val="00B050"/>
              </w:rPr>
            </w:pPr>
            <w:r w:rsidRPr="00B344D0">
              <w:rPr>
                <w:b/>
                <w:color w:val="00B050"/>
              </w:rPr>
              <w:t>687.500</w:t>
            </w:r>
          </w:p>
          <w:p w:rsidR="00452D35" w:rsidRPr="00B344D0" w:rsidRDefault="00452D35" w:rsidP="00F03476">
            <w:pPr>
              <w:jc w:val="right"/>
              <w:rPr>
                <w:b/>
                <w:color w:val="00B050"/>
              </w:rPr>
            </w:pPr>
            <w:r w:rsidRPr="00B344D0">
              <w:rPr>
                <w:b/>
                <w:color w:val="00B050"/>
              </w:rPr>
              <w:t xml:space="preserve">       </w:t>
            </w:r>
          </w:p>
        </w:tc>
        <w:tc>
          <w:tcPr>
            <w:tcW w:w="1376" w:type="dxa"/>
            <w:tcBorders>
              <w:bottom w:val="thickThinSmallGap" w:sz="24" w:space="0" w:color="auto"/>
            </w:tcBorders>
          </w:tcPr>
          <w:p w:rsidR="00452D35" w:rsidRPr="00B344D0" w:rsidRDefault="00452D35" w:rsidP="00F03476">
            <w:pPr>
              <w:jc w:val="center"/>
              <w:rPr>
                <w:b/>
              </w:rPr>
            </w:pPr>
            <w:r w:rsidRPr="00B344D0">
              <w:rPr>
                <w:b/>
              </w:rPr>
              <w:t>787.500</w:t>
            </w:r>
          </w:p>
        </w:tc>
      </w:tr>
      <w:tr w:rsidR="00452D35" w:rsidRPr="00B344D0" w:rsidTr="00BC1658">
        <w:tc>
          <w:tcPr>
            <w:tcW w:w="5250" w:type="dxa"/>
            <w:tcBorders>
              <w:top w:val="thickThinSmallGap" w:sz="24" w:space="0" w:color="auto"/>
              <w:bottom w:val="single" w:sz="4" w:space="0" w:color="auto"/>
            </w:tcBorders>
          </w:tcPr>
          <w:p w:rsidR="00452D35" w:rsidRPr="00B344D0" w:rsidRDefault="00452D35" w:rsidP="00F03476">
            <w:r w:rsidRPr="00B344D0">
              <w:t>R001, Gl.</w:t>
            </w:r>
            <w:r w:rsidR="00A35FAA">
              <w:t>001</w:t>
            </w:r>
            <w:r w:rsidRPr="00B344D0">
              <w:t>01. Pr.1025, F.Kl.01</w:t>
            </w:r>
          </w:p>
          <w:p w:rsidR="00452D35" w:rsidRPr="00E27218" w:rsidRDefault="00452D35" w:rsidP="00F03476">
            <w:pPr>
              <w:tabs>
                <w:tab w:val="left" w:pos="470"/>
              </w:tabs>
              <w:rPr>
                <w:b/>
              </w:rPr>
            </w:pPr>
            <w:r w:rsidRPr="00B344D0">
              <w:t xml:space="preserve">Aktivnost A100010 </w:t>
            </w:r>
            <w:r w:rsidRPr="00E27218">
              <w:rPr>
                <w:b/>
              </w:rPr>
              <w:t xml:space="preserve">Ostale gradske proslave i manifestacije </w:t>
            </w:r>
          </w:p>
          <w:p w:rsidR="00452D35" w:rsidRPr="00B344D0" w:rsidRDefault="00BC1658" w:rsidP="00F03476">
            <w:r>
              <w:t>Iz. 1, Poz. 3</w:t>
            </w:r>
            <w:r w:rsidR="00452D35" w:rsidRPr="00B344D0">
              <w:t xml:space="preserve"> - Rashodi poslovanja</w:t>
            </w:r>
          </w:p>
        </w:tc>
        <w:tc>
          <w:tcPr>
            <w:tcW w:w="1273" w:type="dxa"/>
            <w:tcBorders>
              <w:top w:val="thickThinSmallGap" w:sz="24" w:space="0" w:color="auto"/>
              <w:bottom w:val="single" w:sz="4" w:space="0" w:color="auto"/>
            </w:tcBorders>
          </w:tcPr>
          <w:p w:rsidR="00452D35" w:rsidRPr="00B344D0" w:rsidRDefault="00BC1658" w:rsidP="00BC1658">
            <w:pPr>
              <w:jc w:val="right"/>
            </w:pPr>
            <w:r>
              <w:t>6</w:t>
            </w:r>
            <w:r w:rsidR="00452D35" w:rsidRPr="00B344D0">
              <w:t>,</w:t>
            </w:r>
            <w:r>
              <w:t>0</w:t>
            </w:r>
            <w:r w:rsidR="00452D35" w:rsidRPr="00B344D0">
              <w:t>00.000</w:t>
            </w:r>
          </w:p>
        </w:tc>
        <w:tc>
          <w:tcPr>
            <w:tcW w:w="1343" w:type="dxa"/>
            <w:tcBorders>
              <w:top w:val="thickThinSmallGap" w:sz="24" w:space="0" w:color="auto"/>
              <w:bottom w:val="single" w:sz="4" w:space="0" w:color="auto"/>
            </w:tcBorders>
          </w:tcPr>
          <w:p w:rsidR="00452D35" w:rsidRPr="00E27218" w:rsidRDefault="00452D35" w:rsidP="00BC1658">
            <w:pPr>
              <w:jc w:val="right"/>
              <w:rPr>
                <w:b/>
                <w:color w:val="FF0000"/>
              </w:rPr>
            </w:pPr>
            <w:r w:rsidRPr="00E27218">
              <w:rPr>
                <w:b/>
                <w:color w:val="FF0000"/>
              </w:rPr>
              <w:t xml:space="preserve">- </w:t>
            </w:r>
            <w:r w:rsidR="00BC1658" w:rsidRPr="00E27218">
              <w:rPr>
                <w:b/>
                <w:color w:val="FF0000"/>
              </w:rPr>
              <w:t>6</w:t>
            </w:r>
            <w:r w:rsidRPr="00E27218">
              <w:rPr>
                <w:b/>
                <w:color w:val="FF0000"/>
              </w:rPr>
              <w:t>87.500</w:t>
            </w:r>
          </w:p>
        </w:tc>
        <w:tc>
          <w:tcPr>
            <w:tcW w:w="1376" w:type="dxa"/>
            <w:tcBorders>
              <w:top w:val="thickThinSmallGap" w:sz="24" w:space="0" w:color="auto"/>
              <w:bottom w:val="single" w:sz="4" w:space="0" w:color="auto"/>
            </w:tcBorders>
          </w:tcPr>
          <w:p w:rsidR="00452D35" w:rsidRPr="00B344D0" w:rsidRDefault="00BC1658" w:rsidP="00BC1658">
            <w:pPr>
              <w:jc w:val="right"/>
            </w:pPr>
            <w:r>
              <w:t>5.3</w:t>
            </w:r>
            <w:r w:rsidR="00452D35" w:rsidRPr="00B344D0">
              <w:t>12.500</w:t>
            </w:r>
          </w:p>
        </w:tc>
      </w:tr>
    </w:tbl>
    <w:p w:rsidR="00452D35" w:rsidRPr="00B344D0" w:rsidRDefault="00452D35" w:rsidP="00452D35">
      <w:pPr>
        <w:rPr>
          <w:rFonts w:asciiTheme="minorHAnsi" w:eastAsiaTheme="minorHAnsi" w:hAnsiTheme="minorHAnsi"/>
        </w:rPr>
      </w:pPr>
      <w:r w:rsidRPr="00B344D0">
        <w:rPr>
          <w:rFonts w:asciiTheme="minorHAnsi" w:eastAsiaTheme="minorHAnsi" w:hAnsiTheme="minorHAnsi"/>
          <w:b/>
          <w:bCs/>
        </w:rPr>
        <w:t xml:space="preserve">R </w:t>
      </w:r>
      <w:r w:rsidRPr="00B344D0">
        <w:rPr>
          <w:rFonts w:asciiTheme="minorHAnsi" w:eastAsiaTheme="minorHAnsi" w:hAnsiTheme="minorHAnsi"/>
        </w:rPr>
        <w:t xml:space="preserve">- Razdjel, </w:t>
      </w:r>
      <w:r w:rsidRPr="00B344D0">
        <w:rPr>
          <w:rFonts w:asciiTheme="minorHAnsi" w:eastAsiaTheme="minorHAnsi" w:hAnsiTheme="minorHAnsi"/>
          <w:b/>
          <w:bCs/>
        </w:rPr>
        <w:t>Gl.</w:t>
      </w:r>
      <w:r w:rsidRPr="00B344D0">
        <w:rPr>
          <w:rFonts w:asciiTheme="minorHAnsi" w:eastAsiaTheme="minorHAnsi" w:hAnsiTheme="minorHAnsi"/>
        </w:rPr>
        <w:t xml:space="preserve"> - Glava, </w:t>
      </w:r>
      <w:r w:rsidRPr="00B344D0">
        <w:rPr>
          <w:rFonts w:asciiTheme="minorHAnsi" w:eastAsiaTheme="minorHAnsi" w:hAnsiTheme="minorHAnsi"/>
          <w:b/>
        </w:rPr>
        <w:t>Pr.</w:t>
      </w:r>
      <w:r w:rsidRPr="00B344D0">
        <w:rPr>
          <w:rFonts w:asciiTheme="minorHAnsi" w:eastAsiaTheme="minorHAnsi" w:hAnsiTheme="minorHAnsi"/>
        </w:rPr>
        <w:t xml:space="preserve"> – Program,  </w:t>
      </w:r>
      <w:r w:rsidRPr="00B344D0">
        <w:rPr>
          <w:rFonts w:asciiTheme="minorHAnsi" w:eastAsiaTheme="minorHAnsi" w:hAnsiTheme="minorHAnsi"/>
          <w:b/>
          <w:bCs/>
        </w:rPr>
        <w:t>A</w:t>
      </w:r>
      <w:r w:rsidRPr="00B344D0">
        <w:rPr>
          <w:rFonts w:asciiTheme="minorHAnsi" w:eastAsiaTheme="minorHAnsi" w:hAnsiTheme="minorHAnsi"/>
        </w:rPr>
        <w:t xml:space="preserve"> - Aktivnost,  </w:t>
      </w:r>
      <w:r w:rsidRPr="00B344D0">
        <w:rPr>
          <w:rFonts w:asciiTheme="minorHAnsi" w:eastAsiaTheme="minorHAnsi" w:hAnsiTheme="minorHAnsi"/>
          <w:b/>
        </w:rPr>
        <w:t>K</w:t>
      </w:r>
      <w:r w:rsidRPr="00B344D0">
        <w:rPr>
          <w:rFonts w:asciiTheme="minorHAnsi" w:eastAsiaTheme="minorHAnsi" w:hAnsiTheme="minorHAnsi"/>
        </w:rPr>
        <w:t xml:space="preserve"> - Kapitalni projekt,  </w:t>
      </w:r>
      <w:r w:rsidRPr="00B344D0">
        <w:rPr>
          <w:rFonts w:asciiTheme="minorHAnsi" w:eastAsiaTheme="minorHAnsi" w:hAnsiTheme="minorHAnsi"/>
          <w:b/>
          <w:bCs/>
        </w:rPr>
        <w:t>F.Kl</w:t>
      </w:r>
      <w:r w:rsidRPr="00B344D0">
        <w:rPr>
          <w:rFonts w:asciiTheme="minorHAnsi" w:eastAsiaTheme="minorHAnsi" w:hAnsiTheme="minorHAnsi"/>
        </w:rPr>
        <w:t>. - Funkcijska klasifikacija,</w:t>
      </w:r>
      <w:r w:rsidRPr="00B344D0">
        <w:rPr>
          <w:rFonts w:asciiTheme="minorHAnsi" w:eastAsiaTheme="minorHAnsi" w:hAnsiTheme="minorHAnsi" w:cstheme="minorBidi"/>
        </w:rPr>
        <w:t xml:space="preserve"> </w:t>
      </w:r>
      <w:r w:rsidRPr="00B344D0">
        <w:rPr>
          <w:rFonts w:asciiTheme="minorHAnsi" w:eastAsiaTheme="minorHAnsi" w:hAnsiTheme="minorHAnsi"/>
          <w:b/>
        </w:rPr>
        <w:t>Iz.</w:t>
      </w:r>
      <w:r w:rsidRPr="00B344D0">
        <w:rPr>
          <w:rFonts w:asciiTheme="minorHAnsi" w:eastAsiaTheme="minorHAnsi" w:hAnsiTheme="minorHAnsi"/>
        </w:rPr>
        <w:t xml:space="preserve"> – Izvor, </w:t>
      </w:r>
      <w:r w:rsidRPr="00B344D0">
        <w:rPr>
          <w:rFonts w:asciiTheme="minorHAnsi" w:eastAsiaTheme="minorHAnsi" w:hAnsiTheme="minorHAnsi"/>
          <w:b/>
          <w:bCs/>
        </w:rPr>
        <w:t>POZ</w:t>
      </w:r>
      <w:r w:rsidRPr="00B344D0">
        <w:rPr>
          <w:rFonts w:asciiTheme="minorHAnsi" w:eastAsiaTheme="minorHAnsi" w:hAnsiTheme="minorHAnsi"/>
        </w:rPr>
        <w:t xml:space="preserve"> - broj konta</w:t>
      </w:r>
    </w:p>
    <w:p w:rsidR="00452D35" w:rsidRPr="00B344D0" w:rsidRDefault="00452D35" w:rsidP="00452D35">
      <w:pPr>
        <w:tabs>
          <w:tab w:val="left" w:pos="470"/>
        </w:tabs>
        <w:rPr>
          <w:rFonts w:eastAsiaTheme="minorHAnsi"/>
          <w:b/>
          <w:i/>
          <w:u w:val="single"/>
        </w:rPr>
      </w:pPr>
      <w:r w:rsidRPr="00B344D0">
        <w:rPr>
          <w:rFonts w:eastAsiaTheme="minorHAnsi"/>
        </w:rPr>
        <w:tab/>
      </w:r>
    </w:p>
    <w:p w:rsidR="00452D35" w:rsidRDefault="00452D35" w:rsidP="00452D35">
      <w:pPr>
        <w:jc w:val="center"/>
        <w:rPr>
          <w:rFonts w:eastAsiaTheme="minorHAnsi"/>
          <w:b/>
          <w:i/>
          <w:u w:val="single"/>
        </w:rPr>
      </w:pPr>
    </w:p>
    <w:p w:rsidR="00452D35" w:rsidRDefault="00452D35" w:rsidP="00452D35">
      <w:pPr>
        <w:jc w:val="center"/>
        <w:rPr>
          <w:rFonts w:eastAsiaTheme="minorHAnsi"/>
          <w:b/>
          <w:i/>
          <w:u w:val="single"/>
        </w:rPr>
      </w:pPr>
    </w:p>
    <w:p w:rsidR="00452D35" w:rsidRPr="00B344D0" w:rsidRDefault="00452D35" w:rsidP="00452D35">
      <w:pPr>
        <w:jc w:val="center"/>
        <w:rPr>
          <w:rFonts w:eastAsiaTheme="minorHAnsi"/>
          <w:b/>
          <w:i/>
          <w:u w:val="single"/>
        </w:rPr>
      </w:pPr>
      <w:r w:rsidRPr="00B344D0">
        <w:rPr>
          <w:rFonts w:eastAsiaTheme="minorHAnsi"/>
          <w:b/>
          <w:i/>
          <w:u w:val="single"/>
        </w:rPr>
        <w:t>Obrazloženje:</w:t>
      </w:r>
    </w:p>
    <w:p w:rsidR="00452D35" w:rsidRPr="00B344D0" w:rsidRDefault="00452D35" w:rsidP="00452D35">
      <w:pPr>
        <w:rPr>
          <w:rFonts w:eastAsiaTheme="minorHAnsi" w:cstheme="minorBidi"/>
        </w:rPr>
      </w:pPr>
    </w:p>
    <w:p w:rsidR="00452D35" w:rsidRPr="00B344D0" w:rsidRDefault="0021518C" w:rsidP="00452D35">
      <w:pPr>
        <w:jc w:val="both"/>
        <w:rPr>
          <w:rFonts w:eastAsiaTheme="minorHAnsi" w:cstheme="minorBidi"/>
        </w:rPr>
      </w:pPr>
      <w:r>
        <w:rPr>
          <w:rFonts w:eastAsiaTheme="minorHAnsi" w:cstheme="minorBidi"/>
        </w:rPr>
        <w:tab/>
      </w:r>
      <w:r w:rsidR="00452D35" w:rsidRPr="00B344D0">
        <w:rPr>
          <w:rFonts w:eastAsiaTheme="minorHAnsi" w:cstheme="minorBidi"/>
        </w:rPr>
        <w:t xml:space="preserve">Smatram da će se usvajenjem predloženog amandmana kojim će Grad Poreč-Parenzo osigurati besplatne udžbenike za sve </w:t>
      </w:r>
      <w:r w:rsidR="00452D35">
        <w:rPr>
          <w:rFonts w:eastAsiaTheme="minorHAnsi" w:cstheme="minorBidi"/>
        </w:rPr>
        <w:t xml:space="preserve">osnovnoškolke i </w:t>
      </w:r>
      <w:r w:rsidR="00452D35" w:rsidRPr="00B344D0">
        <w:rPr>
          <w:rFonts w:eastAsiaTheme="minorHAnsi" w:cstheme="minorBidi"/>
        </w:rPr>
        <w:t>osnovnoškolce, pomoći mladim obiteljima da se lakške odlu</w:t>
      </w:r>
      <w:r w:rsidR="00452D35">
        <w:rPr>
          <w:rFonts w:eastAsiaTheme="minorHAnsi" w:cstheme="minorBidi"/>
        </w:rPr>
        <w:t>č</w:t>
      </w:r>
      <w:r w:rsidR="00452D35" w:rsidRPr="00B344D0">
        <w:rPr>
          <w:rFonts w:eastAsiaTheme="minorHAnsi" w:cstheme="minorBidi"/>
        </w:rPr>
        <w:t>e na povećanje svoje obitelji i rađanja većeg broja djece.</w:t>
      </w:r>
    </w:p>
    <w:p w:rsidR="00452D35" w:rsidRPr="00B344D0" w:rsidRDefault="00452D35" w:rsidP="00452D35">
      <w:pPr>
        <w:jc w:val="both"/>
        <w:rPr>
          <w:rFonts w:eastAsiaTheme="minorHAnsi" w:cstheme="minorBidi"/>
        </w:rPr>
      </w:pPr>
    </w:p>
    <w:p w:rsidR="00452D35" w:rsidRPr="00B344D0" w:rsidRDefault="0021518C" w:rsidP="00452D35">
      <w:pPr>
        <w:jc w:val="both"/>
        <w:rPr>
          <w:rFonts w:eastAsiaTheme="minorHAnsi" w:cstheme="minorBidi"/>
        </w:rPr>
      </w:pPr>
      <w:r>
        <w:rPr>
          <w:rFonts w:eastAsiaTheme="minorHAnsi" w:cstheme="minorBidi"/>
        </w:rPr>
        <w:tab/>
      </w:r>
      <w:r w:rsidR="00452D35" w:rsidRPr="00B344D0">
        <w:rPr>
          <w:rFonts w:eastAsiaTheme="minorHAnsi" w:cstheme="minorBidi"/>
        </w:rPr>
        <w:t>Poreč je drugi grad po veličini u Istarskoj županiji koji zajedno s Općinom Tar-Vabriga broji po zadnjem popisu stanovništva oko 18.500 žitelja. U zadnjih 50 godina stalno raste broj stanovnika i taj trend ne prestaje. Međutim, naš grad "stari" pa je tako udio mlađih od 14 godina pao je sa 17 na 15 posto u razdoblju od 2001. do 2011., a usporedo s time porastao je udio starijih od 64 godine. Bilježi se i pad novorođene djece – pa je tako 2006. bilo je 171 rođenih beba, dok je 2014. taj broj iznosio 159.</w:t>
      </w:r>
    </w:p>
    <w:p w:rsidR="00452D35" w:rsidRPr="00B344D0" w:rsidRDefault="00452D35" w:rsidP="00452D35">
      <w:pPr>
        <w:jc w:val="both"/>
        <w:rPr>
          <w:rFonts w:eastAsiaTheme="minorHAnsi" w:cstheme="minorBidi"/>
        </w:rPr>
      </w:pPr>
    </w:p>
    <w:p w:rsidR="00452D35" w:rsidRPr="00B344D0" w:rsidRDefault="0021518C" w:rsidP="00452D35">
      <w:pPr>
        <w:jc w:val="both"/>
        <w:rPr>
          <w:rFonts w:eastAsiaTheme="minorHAnsi" w:cstheme="minorBidi"/>
        </w:rPr>
      </w:pPr>
      <w:r>
        <w:rPr>
          <w:rFonts w:eastAsiaTheme="minorHAnsi" w:cstheme="minorBidi"/>
        </w:rPr>
        <w:tab/>
      </w:r>
      <w:r w:rsidR="00452D35" w:rsidRPr="00B344D0">
        <w:rPr>
          <w:rFonts w:eastAsiaTheme="minorHAnsi" w:cstheme="minorBidi"/>
        </w:rPr>
        <w:t>Racionalizacijom troškova po predlženim stavkama, moguće je osigurati sredstva za kupnju udžbenika. Narednih će se godina ta stavka smanjivati, jer će se osigurati razmjena udžbenika po principu nasljeđivanja od predhodne generacije, pa će biti potrebno osigurati sredstva samo za nadopunu (kupnju) udžbenika koji neće biti više upotrebljivi.</w:t>
      </w:r>
    </w:p>
    <w:p w:rsidR="00452D35" w:rsidRPr="00B344D0" w:rsidRDefault="00452D35" w:rsidP="00452D35">
      <w:pPr>
        <w:rPr>
          <w:rFonts w:eastAsiaTheme="minorHAnsi" w:cstheme="minorBidi"/>
        </w:rPr>
      </w:pPr>
    </w:p>
    <w:p w:rsidR="00452D35" w:rsidRDefault="0021518C" w:rsidP="00452D35">
      <w:pPr>
        <w:rPr>
          <w:rFonts w:eastAsiaTheme="minorHAnsi" w:cstheme="minorBidi"/>
        </w:rPr>
      </w:pPr>
      <w:r>
        <w:rPr>
          <w:rFonts w:eastAsiaTheme="minorHAnsi" w:cstheme="minorBidi"/>
        </w:rPr>
        <w:tab/>
        <w:t>Molim da se prema predloženim stavkama izm</w:t>
      </w:r>
      <w:r w:rsidR="0030183D">
        <w:rPr>
          <w:rFonts w:eastAsiaTheme="minorHAnsi" w:cstheme="minorBidi"/>
        </w:rPr>
        <w:t>j</w:t>
      </w:r>
      <w:r>
        <w:rPr>
          <w:rFonts w:eastAsiaTheme="minorHAnsi" w:cstheme="minorBidi"/>
        </w:rPr>
        <w:t>ene i pozicije u Projekcijama za 2019. i 2020 godinu.</w:t>
      </w:r>
    </w:p>
    <w:p w:rsidR="00452D35" w:rsidRDefault="00452D35" w:rsidP="00452D35">
      <w:pPr>
        <w:rPr>
          <w:rFonts w:eastAsiaTheme="minorHAnsi" w:cstheme="minorBidi"/>
        </w:rPr>
      </w:pPr>
    </w:p>
    <w:p w:rsidR="00C021D9" w:rsidRPr="00AC3ADA" w:rsidRDefault="00C021D9" w:rsidP="00452D35">
      <w:pPr>
        <w:jc w:val="center"/>
        <w:rPr>
          <w:szCs w:val="22"/>
        </w:rPr>
      </w:pPr>
    </w:p>
    <w:sectPr w:rsidR="00C021D9" w:rsidRPr="00AC3ADA" w:rsidSect="005B1AF4">
      <w:headerReference w:type="first" r:id="rId8"/>
      <w:pgSz w:w="11906" w:h="16838" w:code="9"/>
      <w:pgMar w:top="1440" w:right="1440" w:bottom="1440" w:left="1440" w:header="425"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84B" w:rsidRDefault="0085384B">
      <w:r>
        <w:separator/>
      </w:r>
    </w:p>
  </w:endnote>
  <w:endnote w:type="continuationSeparator" w:id="0">
    <w:p w:rsidR="0085384B" w:rsidRDefault="0085384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84B" w:rsidRDefault="0085384B">
      <w:r>
        <w:separator/>
      </w:r>
    </w:p>
  </w:footnote>
  <w:footnote w:type="continuationSeparator" w:id="0">
    <w:p w:rsidR="0085384B" w:rsidRDefault="00853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000"/>
    </w:tblPr>
    <w:tblGrid>
      <w:gridCol w:w="5536"/>
      <w:gridCol w:w="3706"/>
    </w:tblGrid>
    <w:tr w:rsidR="00401754">
      <w:trPr>
        <w:jc w:val="center"/>
      </w:trPr>
      <w:tc>
        <w:tcPr>
          <w:tcW w:w="6292" w:type="dxa"/>
        </w:tcPr>
        <w:p w:rsidR="00401754" w:rsidRDefault="00C021D9">
          <w:pPr>
            <w:rPr>
              <w:lang w:val="en-US"/>
            </w:rPr>
          </w:pPr>
          <w:bookmarkStart w:id="0" w:name="OLE_LINK2"/>
          <w:r>
            <w:rPr>
              <w:noProof/>
              <w:sz w:val="20"/>
              <w:lang w:val="en-US"/>
            </w:rPr>
            <w:drawing>
              <wp:anchor distT="0" distB="0" distL="114300" distR="114300" simplePos="0" relativeHeight="251657728" behindDoc="0" locked="0" layoutInCell="1" allowOverlap="1">
                <wp:simplePos x="0" y="0"/>
                <wp:positionH relativeFrom="column">
                  <wp:posOffset>-793115</wp:posOffset>
                </wp:positionH>
                <wp:positionV relativeFrom="paragraph">
                  <wp:posOffset>-4445</wp:posOffset>
                </wp:positionV>
                <wp:extent cx="715010" cy="718820"/>
                <wp:effectExtent l="19050" t="0" r="8890" b="0"/>
                <wp:wrapThrough wrapText="bothSides">
                  <wp:wrapPolygon edited="0">
                    <wp:start x="-575" y="0"/>
                    <wp:lineTo x="-575" y="21180"/>
                    <wp:lineTo x="21869" y="21180"/>
                    <wp:lineTo x="21869" y="0"/>
                    <wp:lineTo x="-575" y="0"/>
                  </wp:wrapPolygon>
                </wp:wrapThrough>
                <wp:docPr id="1" name="Picture 1" descr="zn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1"/>
                        <pic:cNvPicPr>
                          <a:picLocks noChangeAspect="1" noChangeArrowheads="1"/>
                        </pic:cNvPicPr>
                      </pic:nvPicPr>
                      <pic:blipFill>
                        <a:blip r:embed="rId1"/>
                        <a:srcRect/>
                        <a:stretch>
                          <a:fillRect/>
                        </a:stretch>
                      </pic:blipFill>
                      <pic:spPr bwMode="auto">
                        <a:xfrm>
                          <a:off x="0" y="0"/>
                          <a:ext cx="715010" cy="718820"/>
                        </a:xfrm>
                        <a:prstGeom prst="rect">
                          <a:avLst/>
                        </a:prstGeom>
                        <a:noFill/>
                        <a:ln w="9525">
                          <a:noFill/>
                          <a:miter lim="800000"/>
                          <a:headEnd/>
                          <a:tailEnd/>
                        </a:ln>
                      </pic:spPr>
                    </pic:pic>
                  </a:graphicData>
                </a:graphic>
              </wp:anchor>
            </w:drawing>
          </w:r>
        </w:p>
      </w:tc>
      <w:tc>
        <w:tcPr>
          <w:tcW w:w="3896" w:type="dxa"/>
        </w:tcPr>
        <w:p w:rsidR="00401754" w:rsidRPr="00F91C6C" w:rsidRDefault="00401754">
          <w:pPr>
            <w:pStyle w:val="Heading2"/>
            <w:rPr>
              <w:rFonts w:ascii="Helvetica" w:hAnsi="Helvetica"/>
              <w:color w:val="808080"/>
              <w:lang w:val="pl-PL"/>
            </w:rPr>
          </w:pPr>
          <w:r w:rsidRPr="00F91C6C">
            <w:rPr>
              <w:rFonts w:ascii="Helvetica" w:hAnsi="Helvetica"/>
              <w:color w:val="808080"/>
              <w:lang w:val="pl-PL"/>
            </w:rPr>
            <w:t>SOCIJALDEMOKRATSKA</w:t>
          </w:r>
        </w:p>
        <w:p w:rsidR="00401754" w:rsidRPr="00F91C6C" w:rsidRDefault="00401754">
          <w:pPr>
            <w:rPr>
              <w:rFonts w:ascii="Helvetica" w:hAnsi="Helvetica" w:cs="Arial"/>
              <w:color w:val="808080"/>
              <w:sz w:val="20"/>
              <w:lang w:val="pl-PL"/>
            </w:rPr>
          </w:pPr>
          <w:r w:rsidRPr="00F91C6C">
            <w:rPr>
              <w:rFonts w:ascii="Helvetica" w:hAnsi="Helvetica" w:cs="Arial"/>
              <w:color w:val="808080"/>
              <w:sz w:val="20"/>
              <w:lang w:val="pl-PL"/>
            </w:rPr>
            <w:t>PARTIJA HRVATSKE</w:t>
          </w:r>
        </w:p>
        <w:p w:rsidR="00401754" w:rsidRPr="00F91C6C" w:rsidRDefault="00401754">
          <w:pPr>
            <w:rPr>
              <w:rFonts w:ascii="Helvetica" w:hAnsi="Helvetica" w:cs="Arial"/>
              <w:color w:val="808080"/>
              <w:sz w:val="20"/>
              <w:lang w:val="pl-PL"/>
            </w:rPr>
          </w:pPr>
        </w:p>
        <w:p w:rsidR="00401754" w:rsidRDefault="00C3244D">
          <w:pPr>
            <w:pStyle w:val="Heading2"/>
            <w:rPr>
              <w:rFonts w:ascii="Helvetica" w:hAnsi="Helvetica"/>
              <w:color w:val="808080"/>
              <w:lang w:val="hr-HR"/>
            </w:rPr>
          </w:pPr>
          <w:r>
            <w:rPr>
              <w:rFonts w:ascii="Helvetica" w:hAnsi="Helvetica"/>
              <w:color w:val="808080"/>
              <w:lang w:val="hr-HR"/>
            </w:rPr>
            <w:t>GRADSKA</w:t>
          </w:r>
          <w:r w:rsidR="00401754">
            <w:rPr>
              <w:rFonts w:ascii="Helvetica" w:hAnsi="Helvetica"/>
              <w:color w:val="808080"/>
              <w:lang w:val="hr-HR"/>
            </w:rPr>
            <w:t xml:space="preserve"> ORGANIZACIJA SDP-a</w:t>
          </w:r>
          <w:r>
            <w:rPr>
              <w:rFonts w:ascii="Helvetica" w:hAnsi="Helvetica"/>
              <w:color w:val="808080"/>
              <w:lang w:val="hr-HR"/>
            </w:rPr>
            <w:t xml:space="preserve"> POREČ</w:t>
          </w:r>
        </w:p>
        <w:p w:rsidR="00401754" w:rsidRDefault="00C3244D" w:rsidP="00C3244D">
          <w:r>
            <w:rPr>
              <w:rFonts w:ascii="Helvetica" w:hAnsi="Helvetica" w:cs="Arial"/>
              <w:color w:val="808080"/>
              <w:sz w:val="18"/>
            </w:rPr>
            <w:t xml:space="preserve">Nikole Tesle 14, </w:t>
          </w:r>
          <w:r w:rsidR="00C021D9">
            <w:rPr>
              <w:rFonts w:ascii="Helvetica" w:hAnsi="Helvetica" w:cs="Arial"/>
              <w:color w:val="808080"/>
              <w:sz w:val="18"/>
            </w:rPr>
            <w:t xml:space="preserve">52440 </w:t>
          </w:r>
          <w:r>
            <w:rPr>
              <w:rFonts w:ascii="Helvetica" w:hAnsi="Helvetica" w:cs="Arial"/>
              <w:color w:val="808080"/>
              <w:sz w:val="18"/>
            </w:rPr>
            <w:t>Poreč</w:t>
          </w:r>
        </w:p>
      </w:tc>
      <w:bookmarkEnd w:id="0"/>
    </w:tr>
  </w:tbl>
  <w:p w:rsidR="00401754" w:rsidRDefault="004017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7AA0"/>
    <w:multiLevelType w:val="multilevel"/>
    <w:tmpl w:val="585C5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EA238E"/>
    <w:multiLevelType w:val="hybridMultilevel"/>
    <w:tmpl w:val="E03AB8E8"/>
    <w:lvl w:ilvl="0" w:tplc="CF8CDA58">
      <w:numFmt w:val="bullet"/>
      <w:lvlText w:val="-"/>
      <w:lvlJc w:val="left"/>
      <w:pPr>
        <w:ind w:left="720" w:hanging="360"/>
      </w:pPr>
      <w:rPr>
        <w:rFonts w:ascii="Verdana" w:eastAsia="Times New Roman" w:hAnsi="Verdana" w:cs="Times New Roman" w:hint="default"/>
        <w:u w:val="singl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13640A2"/>
    <w:multiLevelType w:val="hybridMultilevel"/>
    <w:tmpl w:val="EC0AFAA6"/>
    <w:lvl w:ilvl="0" w:tplc="7124CEBE">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280A343B"/>
    <w:multiLevelType w:val="hybridMultilevel"/>
    <w:tmpl w:val="5A7E00D0"/>
    <w:lvl w:ilvl="0" w:tplc="D4C062B0">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9FC5A9D"/>
    <w:multiLevelType w:val="hybridMultilevel"/>
    <w:tmpl w:val="A022C604"/>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nsid w:val="2BAE5DE6"/>
    <w:multiLevelType w:val="hybridMultilevel"/>
    <w:tmpl w:val="221294B8"/>
    <w:lvl w:ilvl="0" w:tplc="3670B86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332E2D55"/>
    <w:multiLevelType w:val="hybridMultilevel"/>
    <w:tmpl w:val="8202F930"/>
    <w:lvl w:ilvl="0" w:tplc="702234FC">
      <w:start w:val="1"/>
      <w:numFmt w:val="bullet"/>
      <w:lvlText w:val=""/>
      <w:lvlJc w:val="left"/>
      <w:pPr>
        <w:tabs>
          <w:tab w:val="num" w:pos="0"/>
        </w:tabs>
        <w:ind w:left="0" w:firstLine="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34404715"/>
    <w:multiLevelType w:val="hybridMultilevel"/>
    <w:tmpl w:val="B300A926"/>
    <w:lvl w:ilvl="0" w:tplc="BAA24F9E">
      <w:numFmt w:val="bullet"/>
      <w:lvlText w:val=""/>
      <w:lvlJc w:val="left"/>
      <w:pPr>
        <w:ind w:left="1080" w:hanging="360"/>
      </w:pPr>
      <w:rPr>
        <w:rFonts w:ascii="Symbol" w:eastAsia="SimSun" w:hAnsi="Symbol" w:cs="Times New Roman" w:hint="default"/>
        <w:i/>
        <w:sz w:val="28"/>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nsid w:val="35B80493"/>
    <w:multiLevelType w:val="hybridMultilevel"/>
    <w:tmpl w:val="0BB8E206"/>
    <w:lvl w:ilvl="0" w:tplc="A1224478">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6D708E5"/>
    <w:multiLevelType w:val="hybridMultilevel"/>
    <w:tmpl w:val="BD48E46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3A7E4383"/>
    <w:multiLevelType w:val="hybridMultilevel"/>
    <w:tmpl w:val="1FCA0198"/>
    <w:lvl w:ilvl="0" w:tplc="977CDAE4">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5232129"/>
    <w:multiLevelType w:val="hybridMultilevel"/>
    <w:tmpl w:val="21263588"/>
    <w:lvl w:ilvl="0" w:tplc="E4A0521A">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D1446B4"/>
    <w:multiLevelType w:val="hybridMultilevel"/>
    <w:tmpl w:val="3788C252"/>
    <w:lvl w:ilvl="0" w:tplc="066803B2">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0D7178E"/>
    <w:multiLevelType w:val="hybridMultilevel"/>
    <w:tmpl w:val="FB1641D8"/>
    <w:lvl w:ilvl="0" w:tplc="AB98503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638834C6"/>
    <w:multiLevelType w:val="hybridMultilevel"/>
    <w:tmpl w:val="B3043152"/>
    <w:lvl w:ilvl="0" w:tplc="83F827EE">
      <w:start w:val="1"/>
      <w:numFmt w:val="decimal"/>
      <w:lvlText w:val="%1."/>
      <w:lvlJc w:val="left"/>
      <w:pPr>
        <w:ind w:left="720" w:hanging="360"/>
      </w:pPr>
      <w:rPr>
        <w:rFonts w:ascii="Times New Roman" w:eastAsia="Calibri" w:hAnsi="Times New Roman" w:cs="Times New Roman"/>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6D953DF1"/>
    <w:multiLevelType w:val="hybridMultilevel"/>
    <w:tmpl w:val="0F383C72"/>
    <w:lvl w:ilvl="0" w:tplc="62164BD8">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F7D4FD7"/>
    <w:multiLevelType w:val="hybridMultilevel"/>
    <w:tmpl w:val="C2747406"/>
    <w:lvl w:ilvl="0" w:tplc="520AAA16">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11"/>
  </w:num>
  <w:num w:numId="5">
    <w:abstractNumId w:val="15"/>
  </w:num>
  <w:num w:numId="6">
    <w:abstractNumId w:val="16"/>
  </w:num>
  <w:num w:numId="7">
    <w:abstractNumId w:val="8"/>
  </w:num>
  <w:num w:numId="8">
    <w:abstractNumId w:val="10"/>
  </w:num>
  <w:num w:numId="9">
    <w:abstractNumId w:val="12"/>
  </w:num>
  <w:num w:numId="10">
    <w:abstractNumId w:val="2"/>
  </w:num>
  <w:num w:numId="11">
    <w:abstractNumId w:val="1"/>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attachedTemplate r:id="rId1"/>
  <w:stylePaneFormatFilter w:val="3F01"/>
  <w:defaultTabStop w:val="720"/>
  <w:hyphenationZone w:val="425"/>
  <w:drawingGridHorizontalSpacing w:val="120"/>
  <w:displayHorizontalDrawingGridEvery w:val="2"/>
  <w:noPunctuationKerning/>
  <w:characterSpacingControl w:val="doNotCompress"/>
  <w:hdrShapeDefaults>
    <o:shapedefaults v:ext="edit" spidmax="24578"/>
  </w:hdrShapeDefaults>
  <w:footnotePr>
    <w:footnote w:id="-1"/>
    <w:footnote w:id="0"/>
  </w:footnotePr>
  <w:endnotePr>
    <w:endnote w:id="-1"/>
    <w:endnote w:id="0"/>
  </w:endnotePr>
  <w:compat/>
  <w:rsids>
    <w:rsidRoot w:val="00634363"/>
    <w:rsid w:val="00003F50"/>
    <w:rsid w:val="00011075"/>
    <w:rsid w:val="0002353D"/>
    <w:rsid w:val="000319F4"/>
    <w:rsid w:val="00036C01"/>
    <w:rsid w:val="00054610"/>
    <w:rsid w:val="00061448"/>
    <w:rsid w:val="00066BC1"/>
    <w:rsid w:val="00084712"/>
    <w:rsid w:val="00086A91"/>
    <w:rsid w:val="00097B44"/>
    <w:rsid w:val="000A4658"/>
    <w:rsid w:val="000A4A8F"/>
    <w:rsid w:val="000C39EE"/>
    <w:rsid w:val="000D3A06"/>
    <w:rsid w:val="000D3F0E"/>
    <w:rsid w:val="000D542F"/>
    <w:rsid w:val="000F499D"/>
    <w:rsid w:val="0010467F"/>
    <w:rsid w:val="00123016"/>
    <w:rsid w:val="001416FD"/>
    <w:rsid w:val="001530F2"/>
    <w:rsid w:val="00154902"/>
    <w:rsid w:val="00156833"/>
    <w:rsid w:val="001572B0"/>
    <w:rsid w:val="001641B7"/>
    <w:rsid w:val="00173D30"/>
    <w:rsid w:val="00182C1E"/>
    <w:rsid w:val="00194B26"/>
    <w:rsid w:val="001B67FA"/>
    <w:rsid w:val="001C55F6"/>
    <w:rsid w:val="001E29C6"/>
    <w:rsid w:val="001E45C5"/>
    <w:rsid w:val="001F0EB7"/>
    <w:rsid w:val="00214D9A"/>
    <w:rsid w:val="0021518C"/>
    <w:rsid w:val="00217B7C"/>
    <w:rsid w:val="00222947"/>
    <w:rsid w:val="00225295"/>
    <w:rsid w:val="00236CAA"/>
    <w:rsid w:val="00242CEA"/>
    <w:rsid w:val="00246DCB"/>
    <w:rsid w:val="0025015E"/>
    <w:rsid w:val="00250C4E"/>
    <w:rsid w:val="00263F61"/>
    <w:rsid w:val="0027224D"/>
    <w:rsid w:val="00284D99"/>
    <w:rsid w:val="002876E5"/>
    <w:rsid w:val="00290A7C"/>
    <w:rsid w:val="0029500B"/>
    <w:rsid w:val="002A09E8"/>
    <w:rsid w:val="002A74BF"/>
    <w:rsid w:val="002D7743"/>
    <w:rsid w:val="002E2E4C"/>
    <w:rsid w:val="002F03F9"/>
    <w:rsid w:val="002F4936"/>
    <w:rsid w:val="00300838"/>
    <w:rsid w:val="0030183D"/>
    <w:rsid w:val="003044E8"/>
    <w:rsid w:val="0031468B"/>
    <w:rsid w:val="003242FD"/>
    <w:rsid w:val="003270BD"/>
    <w:rsid w:val="003370C7"/>
    <w:rsid w:val="00346D1E"/>
    <w:rsid w:val="00353337"/>
    <w:rsid w:val="00360598"/>
    <w:rsid w:val="00361CAB"/>
    <w:rsid w:val="003D09E0"/>
    <w:rsid w:val="003D150B"/>
    <w:rsid w:val="003D360B"/>
    <w:rsid w:val="003F1B3A"/>
    <w:rsid w:val="004005C9"/>
    <w:rsid w:val="00401754"/>
    <w:rsid w:val="00406768"/>
    <w:rsid w:val="00412415"/>
    <w:rsid w:val="004175E6"/>
    <w:rsid w:val="004406F2"/>
    <w:rsid w:val="00445F35"/>
    <w:rsid w:val="00452D35"/>
    <w:rsid w:val="00455089"/>
    <w:rsid w:val="0047086B"/>
    <w:rsid w:val="004728B5"/>
    <w:rsid w:val="004906BC"/>
    <w:rsid w:val="004942A9"/>
    <w:rsid w:val="004A651B"/>
    <w:rsid w:val="004B3F24"/>
    <w:rsid w:val="004C05A2"/>
    <w:rsid w:val="004D04E7"/>
    <w:rsid w:val="004D2C96"/>
    <w:rsid w:val="004D71E3"/>
    <w:rsid w:val="004E00DD"/>
    <w:rsid w:val="004E06F0"/>
    <w:rsid w:val="004E11C3"/>
    <w:rsid w:val="004F0277"/>
    <w:rsid w:val="005109B9"/>
    <w:rsid w:val="005242CB"/>
    <w:rsid w:val="00530D83"/>
    <w:rsid w:val="00532EE1"/>
    <w:rsid w:val="0054235A"/>
    <w:rsid w:val="00550969"/>
    <w:rsid w:val="00553E30"/>
    <w:rsid w:val="005600C0"/>
    <w:rsid w:val="005661F9"/>
    <w:rsid w:val="00572E22"/>
    <w:rsid w:val="0057547A"/>
    <w:rsid w:val="005771B7"/>
    <w:rsid w:val="00577C1F"/>
    <w:rsid w:val="0058148B"/>
    <w:rsid w:val="00581B4E"/>
    <w:rsid w:val="005901E0"/>
    <w:rsid w:val="005912DE"/>
    <w:rsid w:val="00595766"/>
    <w:rsid w:val="005A1648"/>
    <w:rsid w:val="005A7238"/>
    <w:rsid w:val="005B1AF4"/>
    <w:rsid w:val="005B5C24"/>
    <w:rsid w:val="005B5FEC"/>
    <w:rsid w:val="005B669F"/>
    <w:rsid w:val="005D5AA4"/>
    <w:rsid w:val="005E0A30"/>
    <w:rsid w:val="005E65A4"/>
    <w:rsid w:val="00601CD3"/>
    <w:rsid w:val="00603E4A"/>
    <w:rsid w:val="0060789D"/>
    <w:rsid w:val="0061152B"/>
    <w:rsid w:val="00611E26"/>
    <w:rsid w:val="006205EC"/>
    <w:rsid w:val="00622975"/>
    <w:rsid w:val="00622C88"/>
    <w:rsid w:val="006342B4"/>
    <w:rsid w:val="00634363"/>
    <w:rsid w:val="00650F14"/>
    <w:rsid w:val="006652C4"/>
    <w:rsid w:val="00672616"/>
    <w:rsid w:val="0067519B"/>
    <w:rsid w:val="00681210"/>
    <w:rsid w:val="006973F2"/>
    <w:rsid w:val="00697885"/>
    <w:rsid w:val="006A12D2"/>
    <w:rsid w:val="006A31C3"/>
    <w:rsid w:val="006B2871"/>
    <w:rsid w:val="006D4ACD"/>
    <w:rsid w:val="006E04DE"/>
    <w:rsid w:val="006E599F"/>
    <w:rsid w:val="006F28DC"/>
    <w:rsid w:val="0072250D"/>
    <w:rsid w:val="00726B97"/>
    <w:rsid w:val="00752A6D"/>
    <w:rsid w:val="007621BE"/>
    <w:rsid w:val="00784153"/>
    <w:rsid w:val="00796D7A"/>
    <w:rsid w:val="00797B3B"/>
    <w:rsid w:val="007A0315"/>
    <w:rsid w:val="007B5DD4"/>
    <w:rsid w:val="007D5AB2"/>
    <w:rsid w:val="007E32D2"/>
    <w:rsid w:val="007E467B"/>
    <w:rsid w:val="00807D72"/>
    <w:rsid w:val="0081263D"/>
    <w:rsid w:val="0081699C"/>
    <w:rsid w:val="00831713"/>
    <w:rsid w:val="00835135"/>
    <w:rsid w:val="00844A6E"/>
    <w:rsid w:val="0085384B"/>
    <w:rsid w:val="00854CFC"/>
    <w:rsid w:val="00860228"/>
    <w:rsid w:val="00863C0B"/>
    <w:rsid w:val="0086553C"/>
    <w:rsid w:val="00873C6B"/>
    <w:rsid w:val="00881F94"/>
    <w:rsid w:val="008B0186"/>
    <w:rsid w:val="008B596E"/>
    <w:rsid w:val="008B68D1"/>
    <w:rsid w:val="008D594E"/>
    <w:rsid w:val="008E1B75"/>
    <w:rsid w:val="008F0CE1"/>
    <w:rsid w:val="008F4840"/>
    <w:rsid w:val="00933B3A"/>
    <w:rsid w:val="00951EE8"/>
    <w:rsid w:val="00952EF2"/>
    <w:rsid w:val="00970BA6"/>
    <w:rsid w:val="00984D8C"/>
    <w:rsid w:val="00996600"/>
    <w:rsid w:val="009D3019"/>
    <w:rsid w:val="009D5066"/>
    <w:rsid w:val="009E61A0"/>
    <w:rsid w:val="009E6541"/>
    <w:rsid w:val="009F474C"/>
    <w:rsid w:val="00A11BA6"/>
    <w:rsid w:val="00A234F4"/>
    <w:rsid w:val="00A23D8A"/>
    <w:rsid w:val="00A275EE"/>
    <w:rsid w:val="00A27C21"/>
    <w:rsid w:val="00A35FAA"/>
    <w:rsid w:val="00A36D82"/>
    <w:rsid w:val="00A62C87"/>
    <w:rsid w:val="00A709E5"/>
    <w:rsid w:val="00A7203B"/>
    <w:rsid w:val="00A734E9"/>
    <w:rsid w:val="00AA59E2"/>
    <w:rsid w:val="00AC1452"/>
    <w:rsid w:val="00AC3ADA"/>
    <w:rsid w:val="00AE2E8F"/>
    <w:rsid w:val="00AE7B15"/>
    <w:rsid w:val="00AF099A"/>
    <w:rsid w:val="00B020D0"/>
    <w:rsid w:val="00B0723A"/>
    <w:rsid w:val="00B14D44"/>
    <w:rsid w:val="00B15FA0"/>
    <w:rsid w:val="00B2256B"/>
    <w:rsid w:val="00B27A0B"/>
    <w:rsid w:val="00B30109"/>
    <w:rsid w:val="00B7263F"/>
    <w:rsid w:val="00B74823"/>
    <w:rsid w:val="00B74A9A"/>
    <w:rsid w:val="00B82600"/>
    <w:rsid w:val="00B91475"/>
    <w:rsid w:val="00B935A2"/>
    <w:rsid w:val="00B9521D"/>
    <w:rsid w:val="00BA03C5"/>
    <w:rsid w:val="00BA44D9"/>
    <w:rsid w:val="00BC1658"/>
    <w:rsid w:val="00BC6CF0"/>
    <w:rsid w:val="00BF1780"/>
    <w:rsid w:val="00C021D9"/>
    <w:rsid w:val="00C071C1"/>
    <w:rsid w:val="00C1288F"/>
    <w:rsid w:val="00C17A5B"/>
    <w:rsid w:val="00C3244D"/>
    <w:rsid w:val="00C50203"/>
    <w:rsid w:val="00C502D6"/>
    <w:rsid w:val="00C534B0"/>
    <w:rsid w:val="00C85E28"/>
    <w:rsid w:val="00CA5500"/>
    <w:rsid w:val="00CC638A"/>
    <w:rsid w:val="00CE1516"/>
    <w:rsid w:val="00CF48F8"/>
    <w:rsid w:val="00D00804"/>
    <w:rsid w:val="00D22255"/>
    <w:rsid w:val="00D330ED"/>
    <w:rsid w:val="00D41721"/>
    <w:rsid w:val="00D5504A"/>
    <w:rsid w:val="00D61E82"/>
    <w:rsid w:val="00D62CF9"/>
    <w:rsid w:val="00D6446B"/>
    <w:rsid w:val="00D74D05"/>
    <w:rsid w:val="00D8112F"/>
    <w:rsid w:val="00D84A1B"/>
    <w:rsid w:val="00D96383"/>
    <w:rsid w:val="00D9658F"/>
    <w:rsid w:val="00DB538F"/>
    <w:rsid w:val="00DC4903"/>
    <w:rsid w:val="00DD0996"/>
    <w:rsid w:val="00DD6306"/>
    <w:rsid w:val="00DE3E68"/>
    <w:rsid w:val="00E27218"/>
    <w:rsid w:val="00E32EF3"/>
    <w:rsid w:val="00E35AC9"/>
    <w:rsid w:val="00E37F73"/>
    <w:rsid w:val="00E47D8E"/>
    <w:rsid w:val="00E50520"/>
    <w:rsid w:val="00E50542"/>
    <w:rsid w:val="00E53DD8"/>
    <w:rsid w:val="00E665DD"/>
    <w:rsid w:val="00E74379"/>
    <w:rsid w:val="00E74728"/>
    <w:rsid w:val="00E91FAD"/>
    <w:rsid w:val="00E9521B"/>
    <w:rsid w:val="00EA2E8C"/>
    <w:rsid w:val="00EC7A7F"/>
    <w:rsid w:val="00ED7ABD"/>
    <w:rsid w:val="00EE4E2E"/>
    <w:rsid w:val="00EE7217"/>
    <w:rsid w:val="00EF4CF4"/>
    <w:rsid w:val="00F01665"/>
    <w:rsid w:val="00F03B58"/>
    <w:rsid w:val="00F14BDE"/>
    <w:rsid w:val="00F308CA"/>
    <w:rsid w:val="00F31E12"/>
    <w:rsid w:val="00F40294"/>
    <w:rsid w:val="00F42251"/>
    <w:rsid w:val="00F5322B"/>
    <w:rsid w:val="00F53C99"/>
    <w:rsid w:val="00F91C6C"/>
    <w:rsid w:val="00F9268D"/>
    <w:rsid w:val="00FA06D8"/>
    <w:rsid w:val="00FA7B37"/>
    <w:rsid w:val="00FC1064"/>
    <w:rsid w:val="00FC18A0"/>
    <w:rsid w:val="00FF6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6C"/>
    <w:rPr>
      <w:sz w:val="24"/>
      <w:szCs w:val="24"/>
      <w:lang w:eastAsia="en-US"/>
    </w:rPr>
  </w:style>
  <w:style w:type="paragraph" w:styleId="Heading1">
    <w:name w:val="heading 1"/>
    <w:basedOn w:val="Normal"/>
    <w:next w:val="Normal"/>
    <w:qFormat/>
    <w:rsid w:val="0047086B"/>
    <w:pPr>
      <w:keepNext/>
      <w:ind w:left="5103" w:firstLine="142"/>
      <w:outlineLvl w:val="0"/>
    </w:pPr>
    <w:rPr>
      <w:rFonts w:ascii="Arial" w:hAnsi="Arial"/>
      <w:b/>
      <w:sz w:val="20"/>
    </w:rPr>
  </w:style>
  <w:style w:type="paragraph" w:styleId="Heading2">
    <w:name w:val="heading 2"/>
    <w:basedOn w:val="Normal"/>
    <w:next w:val="Normal"/>
    <w:qFormat/>
    <w:rsid w:val="0047086B"/>
    <w:pPr>
      <w:keepNext/>
      <w:outlineLvl w:val="1"/>
    </w:pPr>
    <w:rPr>
      <w:rFonts w:ascii="Arial" w:hAnsi="Arial" w:cs="Arial"/>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086B"/>
    <w:pPr>
      <w:tabs>
        <w:tab w:val="center" w:pos="4536"/>
        <w:tab w:val="right" w:pos="9072"/>
      </w:tabs>
    </w:pPr>
  </w:style>
  <w:style w:type="paragraph" w:styleId="Footer">
    <w:name w:val="footer"/>
    <w:basedOn w:val="Normal"/>
    <w:rsid w:val="0047086B"/>
    <w:pPr>
      <w:tabs>
        <w:tab w:val="center" w:pos="4536"/>
        <w:tab w:val="right" w:pos="9072"/>
      </w:tabs>
    </w:pPr>
  </w:style>
  <w:style w:type="paragraph" w:styleId="BalloonText">
    <w:name w:val="Balloon Text"/>
    <w:basedOn w:val="Normal"/>
    <w:semiHidden/>
    <w:rsid w:val="0057547A"/>
    <w:rPr>
      <w:rFonts w:ascii="Tahoma" w:hAnsi="Tahoma" w:cs="Tahoma"/>
      <w:sz w:val="16"/>
      <w:szCs w:val="16"/>
    </w:rPr>
  </w:style>
  <w:style w:type="character" w:styleId="Hyperlink">
    <w:name w:val="Hyperlink"/>
    <w:rsid w:val="0010467F"/>
    <w:rPr>
      <w:color w:val="0000FF"/>
      <w:u w:val="single"/>
    </w:rPr>
  </w:style>
  <w:style w:type="table" w:styleId="TableGrid">
    <w:name w:val="Table Grid"/>
    <w:basedOn w:val="TableNormal"/>
    <w:uiPriority w:val="59"/>
    <w:rsid w:val="00675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rsid w:val="0067519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952EF2"/>
    <w:pPr>
      <w:ind w:left="708"/>
    </w:pPr>
    <w:rPr>
      <w:lang w:eastAsia="hr-HR"/>
    </w:rPr>
  </w:style>
  <w:style w:type="paragraph" w:customStyle="1" w:styleId="ListParagraph1">
    <w:name w:val="List Paragraph1"/>
    <w:basedOn w:val="Normal"/>
    <w:rsid w:val="00086A91"/>
    <w:pPr>
      <w:spacing w:after="200" w:line="276" w:lineRule="auto"/>
      <w:ind w:left="720"/>
      <w:contextualSpacing/>
    </w:pPr>
    <w:rPr>
      <w:rFonts w:ascii="Calibri" w:hAnsi="Calibri"/>
      <w:sz w:val="22"/>
      <w:szCs w:val="22"/>
    </w:rPr>
  </w:style>
  <w:style w:type="paragraph" w:styleId="NoSpacing">
    <w:name w:val="No Spacing"/>
    <w:uiPriority w:val="1"/>
    <w:qFormat/>
    <w:rsid w:val="00EC7A7F"/>
    <w:rPr>
      <w:rFonts w:eastAsia="Calibri"/>
      <w:sz w:val="24"/>
      <w:szCs w:val="22"/>
      <w:lang w:eastAsia="en-US"/>
    </w:rPr>
  </w:style>
</w:styles>
</file>

<file path=word/webSettings.xml><?xml version="1.0" encoding="utf-8"?>
<w:webSettings xmlns:r="http://schemas.openxmlformats.org/officeDocument/2006/relationships" xmlns:w="http://schemas.openxmlformats.org/wordprocessingml/2006/main">
  <w:divs>
    <w:div w:id="69665592">
      <w:bodyDiv w:val="1"/>
      <w:marLeft w:val="0"/>
      <w:marRight w:val="0"/>
      <w:marTop w:val="0"/>
      <w:marBottom w:val="0"/>
      <w:divBdr>
        <w:top w:val="none" w:sz="0" w:space="0" w:color="auto"/>
        <w:left w:val="none" w:sz="0" w:space="0" w:color="auto"/>
        <w:bottom w:val="none" w:sz="0" w:space="0" w:color="auto"/>
        <w:right w:val="none" w:sz="0" w:space="0" w:color="auto"/>
      </w:divBdr>
      <w:divsChild>
        <w:div w:id="1205020645">
          <w:marLeft w:val="0"/>
          <w:marRight w:val="0"/>
          <w:marTop w:val="0"/>
          <w:marBottom w:val="0"/>
          <w:divBdr>
            <w:top w:val="none" w:sz="0" w:space="0" w:color="auto"/>
            <w:left w:val="none" w:sz="0" w:space="0" w:color="auto"/>
            <w:bottom w:val="none" w:sz="0" w:space="0" w:color="auto"/>
            <w:right w:val="none" w:sz="0" w:space="0" w:color="auto"/>
          </w:divBdr>
          <w:divsChild>
            <w:div w:id="1344672244">
              <w:marLeft w:val="0"/>
              <w:marRight w:val="0"/>
              <w:marTop w:val="0"/>
              <w:marBottom w:val="0"/>
              <w:divBdr>
                <w:top w:val="none" w:sz="0" w:space="0" w:color="auto"/>
                <w:left w:val="none" w:sz="0" w:space="0" w:color="auto"/>
                <w:bottom w:val="none" w:sz="0" w:space="0" w:color="auto"/>
                <w:right w:val="none" w:sz="0" w:space="0" w:color="auto"/>
              </w:divBdr>
              <w:divsChild>
                <w:div w:id="238709569">
                  <w:marLeft w:val="0"/>
                  <w:marRight w:val="0"/>
                  <w:marTop w:val="0"/>
                  <w:marBottom w:val="0"/>
                  <w:divBdr>
                    <w:top w:val="none" w:sz="0" w:space="0" w:color="auto"/>
                    <w:left w:val="none" w:sz="0" w:space="0" w:color="auto"/>
                    <w:bottom w:val="none" w:sz="0" w:space="0" w:color="auto"/>
                    <w:right w:val="none" w:sz="0" w:space="0" w:color="auto"/>
                  </w:divBdr>
                  <w:divsChild>
                    <w:div w:id="96172645">
                      <w:marLeft w:val="0"/>
                      <w:marRight w:val="0"/>
                      <w:marTop w:val="280"/>
                      <w:marBottom w:val="280"/>
                      <w:divBdr>
                        <w:top w:val="none" w:sz="0" w:space="0" w:color="auto"/>
                        <w:left w:val="none" w:sz="0" w:space="0" w:color="auto"/>
                        <w:bottom w:val="none" w:sz="0" w:space="0" w:color="auto"/>
                        <w:right w:val="none" w:sz="0" w:space="0" w:color="auto"/>
                      </w:divBdr>
                    </w:div>
                    <w:div w:id="127940839">
                      <w:marLeft w:val="0"/>
                      <w:marRight w:val="0"/>
                      <w:marTop w:val="280"/>
                      <w:marBottom w:val="280"/>
                      <w:divBdr>
                        <w:top w:val="none" w:sz="0" w:space="0" w:color="auto"/>
                        <w:left w:val="none" w:sz="0" w:space="0" w:color="auto"/>
                        <w:bottom w:val="none" w:sz="0" w:space="0" w:color="auto"/>
                        <w:right w:val="none" w:sz="0" w:space="0" w:color="auto"/>
                      </w:divBdr>
                    </w:div>
                    <w:div w:id="222985541">
                      <w:marLeft w:val="0"/>
                      <w:marRight w:val="0"/>
                      <w:marTop w:val="280"/>
                      <w:marBottom w:val="280"/>
                      <w:divBdr>
                        <w:top w:val="none" w:sz="0" w:space="0" w:color="auto"/>
                        <w:left w:val="none" w:sz="0" w:space="0" w:color="auto"/>
                        <w:bottom w:val="none" w:sz="0" w:space="0" w:color="auto"/>
                        <w:right w:val="none" w:sz="0" w:space="0" w:color="auto"/>
                      </w:divBdr>
                    </w:div>
                    <w:div w:id="188286636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253101279">
      <w:bodyDiv w:val="1"/>
      <w:marLeft w:val="0"/>
      <w:marRight w:val="0"/>
      <w:marTop w:val="0"/>
      <w:marBottom w:val="0"/>
      <w:divBdr>
        <w:top w:val="none" w:sz="0" w:space="0" w:color="auto"/>
        <w:left w:val="none" w:sz="0" w:space="0" w:color="auto"/>
        <w:bottom w:val="none" w:sz="0" w:space="0" w:color="auto"/>
        <w:right w:val="none" w:sz="0" w:space="0" w:color="auto"/>
      </w:divBdr>
    </w:div>
    <w:div w:id="689113208">
      <w:bodyDiv w:val="1"/>
      <w:marLeft w:val="0"/>
      <w:marRight w:val="0"/>
      <w:marTop w:val="0"/>
      <w:marBottom w:val="0"/>
      <w:divBdr>
        <w:top w:val="none" w:sz="0" w:space="0" w:color="auto"/>
        <w:left w:val="none" w:sz="0" w:space="0" w:color="auto"/>
        <w:bottom w:val="none" w:sz="0" w:space="0" w:color="auto"/>
        <w:right w:val="none" w:sz="0" w:space="0" w:color="auto"/>
      </w:divBdr>
    </w:div>
    <w:div w:id="2036686860">
      <w:bodyDiv w:val="1"/>
      <w:marLeft w:val="0"/>
      <w:marRight w:val="0"/>
      <w:marTop w:val="0"/>
      <w:marBottom w:val="0"/>
      <w:divBdr>
        <w:top w:val="none" w:sz="0" w:space="0" w:color="auto"/>
        <w:left w:val="none" w:sz="0" w:space="0" w:color="auto"/>
        <w:bottom w:val="none" w:sz="0" w:space="0" w:color="auto"/>
        <w:right w:val="none" w:sz="0" w:space="0" w:color="auto"/>
      </w:divBdr>
    </w:div>
    <w:div w:id="204177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alibor\zajednica_talijana_EK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27F3F-F95C-4AD6-AC1B-671C6316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zajednica_talijana_EKO</Template>
  <TotalTime>16</TotalTime>
  <Pages>1</Pages>
  <Words>273</Words>
  <Characters>1558</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Koparska 58, Pula</vt:lpstr>
      <vt:lpstr>Koparska 58, Pula</vt:lpstr>
    </vt:vector>
  </TitlesOfParts>
  <Company>SDP</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Koparska 58, Pula</dc:title>
  <dc:creator>Vedran Grubisic</dc:creator>
  <cp:lastModifiedBy>Gasparac</cp:lastModifiedBy>
  <cp:revision>8</cp:revision>
  <cp:lastPrinted>2013-11-15T06:34:00Z</cp:lastPrinted>
  <dcterms:created xsi:type="dcterms:W3CDTF">2017-12-04T14:54:00Z</dcterms:created>
  <dcterms:modified xsi:type="dcterms:W3CDTF">2017-12-05T08:02:00Z</dcterms:modified>
</cp:coreProperties>
</file>